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8"/>
      </w:pPr>
      <w:r>
        <w:rPr>
          <w:rFonts w:ascii="Times New Roman"/>
        </w:rPr>
        <w:t>ICS</w:t>
      </w:r>
      <w:r>
        <w:rPr>
          <w:rFonts w:hint="eastAsia" w:ascii="MS Gothic" w:hAnsi="MS Gothic" w:eastAsia="MS Gothic" w:cs="MS Gothic"/>
        </w:rPr>
        <w:t> </w:t>
      </w:r>
      <w:bookmarkStart w:id="20" w:name="_GoBack"/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03.080.30</w:t>
      </w:r>
      <w:r>
        <w:fldChar w:fldCharType="end"/>
      </w:r>
      <w:bookmarkEnd w:id="20"/>
      <w:bookmarkEnd w:id="0"/>
    </w:p>
    <w:p>
      <w:pPr>
        <w:pStyle w:val="78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A10</w:t>
      </w:r>
      <w:r>
        <w:fldChar w:fldCharType="end"/>
      </w:r>
      <w:bookmarkEnd w:id="1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8"/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3120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Iri/s1QAA&#10;AAcBAAAPAAAAAAAAAAEAIAAAACIAAABkcnMvZG93bnJldi54bWxQSwECFAAUAAAACACHTuJAD3l+&#10;668BAABnAwAADgAAAAAAAAABACAAAAAkAQAAZHJzL2Uyb0RvYy54bWxQSwUGAAAAAAYABgBZAQAA&#10;R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77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/>
        </w:rPr>
        <w:t>23</w:t>
      </w:r>
      <w:r>
        <w:fldChar w:fldCharType="end"/>
      </w:r>
      <w:bookmarkEnd w:id="3"/>
    </w:p>
    <w:p>
      <w:pPr>
        <w:pStyle w:val="75"/>
      </w:pPr>
      <w:bookmarkStart w:id="4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/>
        </w:rPr>
        <w:t>黑龙江省</w:t>
      </w:r>
      <w:r>
        <w:fldChar w:fldCharType="end"/>
      </w:r>
      <w:bookmarkEnd w:id="4"/>
      <w:r>
        <w:rPr>
          <w:rFonts w:hint="eastAsia"/>
        </w:rPr>
        <w:t>地方标准</w:t>
      </w:r>
    </w:p>
    <w:p>
      <w:pPr>
        <w:pStyle w:val="43"/>
      </w:pPr>
      <w:r>
        <w:rPr>
          <w:rFonts w:ascii="Times New Roman"/>
        </w:rPr>
        <w:t xml:space="preserve">DB </w:t>
      </w:r>
      <w:bookmarkStart w:id="5" w:name="StdNo0"/>
      <w: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23</w:t>
      </w:r>
      <w:r>
        <w:fldChar w:fldCharType="end"/>
      </w:r>
      <w:bookmarkEnd w:id="5"/>
      <w:r>
        <w:t xml:space="preserve">/ </w:t>
      </w:r>
      <w:bookmarkStart w:id="6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T 1581.1</w:t>
      </w:r>
      <w:r>
        <w:fldChar w:fldCharType="end"/>
      </w:r>
      <w:bookmarkEnd w:id="6"/>
      <w:r>
        <w:t>—</w:t>
      </w:r>
      <w:bookmarkStart w:id="7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2015</w:t>
      </w:r>
      <w:r>
        <w:fldChar w:fldCharType="end"/>
      </w:r>
      <w:bookmarkEnd w:id="7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7"/>
            </w:pPr>
            <w:bookmarkStart w:id="8" w:name="DT"/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43"/>
      </w:pPr>
    </w:p>
    <w:p>
      <w:pPr>
        <w:pStyle w:val="43"/>
      </w:pPr>
    </w:p>
    <w:p>
      <w:pPr>
        <w:pStyle w:val="47"/>
      </w:pPr>
      <w:bookmarkStart w:id="9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家政服务  钟点服务质量规范</w:t>
      </w:r>
      <w:r>
        <w:fldChar w:fldCharType="end"/>
      </w:r>
      <w:bookmarkEnd w:id="9"/>
    </w:p>
    <w:p>
      <w:pPr>
        <w:pStyle w:val="46"/>
      </w:pP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03"/>
              <w:rPr>
                <w:rFonts w:hint="eastAsia"/>
              </w:rPr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1270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337.15pt;height:20pt;width:150pt;z-index:-251654144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f1/fg1wAAAAsB&#10;AAAPAAAAAAAAAAEAIAAAACIAAABkcnMvZG93bnJldi54bWxQSwECFAAUAAAACACHTuJAT73D/aoB&#10;AABnAwAADgAAAAAAAAABACAAAAAmAQAAZHJzL2Uyb0RvYy54bWxQSwUGAAAAAAYABgBZAQAAQgUA&#10;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02"/>
            </w:pPr>
            <w:bookmarkStart w:id="10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0"/>
          </w:p>
        </w:tc>
      </w:tr>
    </w:tbl>
    <w:p>
      <w:pPr>
        <w:pStyle w:val="88"/>
      </w:pPr>
      <w:bookmarkStart w:id="11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2015</w:t>
      </w:r>
      <w:r>
        <w:rPr>
          <w:rFonts w:ascii="黑体"/>
        </w:rPr>
        <w:fldChar w:fldCharType="end"/>
      </w:r>
      <w:bookmarkEnd w:id="1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03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2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01</w:t>
      </w:r>
      <w:r>
        <w:rPr>
          <w:rFonts w:ascii="黑体"/>
        </w:rPr>
        <w:fldChar w:fldCharType="end"/>
      </w:r>
      <w:bookmarkEnd w:id="12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0.05pt;margin-top:728.5pt;height:0pt;width:481.9pt;mso-position-vertical-relative:page;z-index:251658240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h2s81gAAAAsBAAAPAAAAAAAAAAEA&#10;IAAAACIAAABkcnMvZG93bnJldi54bWxQSwECFAAUAAAACACHTuJAV64m0NgBAADa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72"/>
      </w:pPr>
      <w:bookmarkStart w:id="13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2015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4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03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01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实施</w:t>
      </w:r>
    </w:p>
    <w:p>
      <w:pPr>
        <w:pStyle w:val="115"/>
      </w:pPr>
      <w:bookmarkStart w:id="16" w:name="fm"/>
      <w:r>
        <w:rPr>
          <w:w w:val="100"/>
          <w:lang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6350" b="0"/>
                <wp:wrapNone/>
                <wp:docPr id="4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LB" o:spid="_x0000_s1026" o:spt="1" style="position:absolute;left:0pt;margin-left:142.55pt;margin-top:-310.45pt;height:24pt;width:100pt;z-index:-251655168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m17tbZAAAA&#10;DQEAAA8AAAAAAAAAAQAgAAAAIgAAAGRycy9kb3ducmV2LnhtbFBLAQIUABQAAAAIAIdO4kDXAL7S&#10;qgEAAGcDAAAOAAAAAAAAAAEAIAAAACg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  <w:lang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3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251656192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fyYoR2gAA&#10;AA8BAAAPAAAAAAAAAAEAIAAAACIAAABkcnMvZG93bnJldi54bWxQSwECFAAUAAAACACHTuJASNXH&#10;LaoBAABnAwAADgAAAAAAAAABACAAAAAp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0" r="0" b="0"/>
                <wp:wrapNone/>
                <wp:docPr id="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36.6pt;margin-top:-552.85pt;height:0pt;width:481.9pt;z-index:251659264;mso-width-relative:page;mso-height-relative:page;" filled="f" stroked="t" coordsize="21600,21600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JZGg2AAAAA8BAAAPAAAAAAAA&#10;AAEAIAAAACIAAABkcnMvZG93bnJldi54bWxQSwECFAAUAAAACACHTuJAtI9Yo9kBAADa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/>
        </w:rPr>
        <w:t>黑龙江省质量技术监督局</w:t>
      </w:r>
      <w:r>
        <w:fldChar w:fldCharType="end"/>
      </w:r>
      <w:bookmarkEnd w:id="16"/>
      <w:r>
        <w:t>   </w:t>
      </w:r>
      <w:r>
        <w:rPr>
          <w:rStyle w:val="131"/>
          <w:rFonts w:hint="eastAsia"/>
        </w:rPr>
        <w:t>发布</w:t>
      </w:r>
    </w:p>
    <w:p>
      <w:pPr>
        <w:pStyle w:val="20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116"/>
        <w:rPr>
          <w:rFonts w:hint="eastAsia"/>
        </w:rPr>
      </w:pPr>
      <w:r>
        <w:rPr>
          <w:rFonts w:hint="eastAsia"/>
        </w:rPr>
        <w:t>前</w:t>
      </w:r>
      <w:bookmarkStart w:id="17" w:name="BKQY"/>
      <w:r>
        <w:t>  </w:t>
      </w:r>
      <w:r>
        <w:rPr>
          <w:rFonts w:hint="eastAsia"/>
        </w:rPr>
        <w:t>言</w:t>
      </w:r>
      <w:bookmarkEnd w:id="17"/>
    </w:p>
    <w:p>
      <w:pPr>
        <w:pStyle w:val="20"/>
        <w:ind w:firstLine="210" w:firstLineChars="1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本标准依据GB/T 1.1的规则起草。</w:t>
      </w:r>
    </w:p>
    <w:p>
      <w:pPr>
        <w:pStyle w:val="20"/>
        <w:ind w:firstLine="210" w:firstLineChars="1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本标准由黑龙江省商务厅提出并归口。</w:t>
      </w:r>
    </w:p>
    <w:p>
      <w:pPr>
        <w:pStyle w:val="20"/>
        <w:ind w:firstLine="0" w:firstLineChars="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本标准起草单位：黑龙江省标准化研究院</w:t>
      </w:r>
    </w:p>
    <w:p>
      <w:pPr>
        <w:pStyle w:val="20"/>
        <w:ind w:firstLine="0" w:firstLineChars="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本标准主要起草人：邢春艳、舒去非、吕猛、杨琼、张文琳</w:t>
      </w:r>
    </w:p>
    <w:p>
      <w:pPr>
        <w:pStyle w:val="20"/>
        <w:ind w:firstLine="0" w:firstLineChars="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本标准为首次发布。</w:t>
      </w:r>
    </w:p>
    <w:p>
      <w:pPr>
        <w:pStyle w:val="20"/>
        <w:rPr>
          <w:rFonts w:hint="eastAsia"/>
        </w:rPr>
      </w:pPr>
    </w:p>
    <w:p>
      <w:pPr>
        <w:pStyle w:val="20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54"/>
        <w:rPr>
          <w:rFonts w:hint="eastAsia"/>
        </w:rPr>
      </w:pPr>
      <w:r>
        <w:rPr>
          <w:rFonts w:hint="eastAsia"/>
        </w:rPr>
        <w:t>家</w:t>
      </w:r>
      <w:bookmarkStart w:id="18" w:name="StandardName"/>
      <w:r>
        <w:rPr>
          <w:rFonts w:hint="eastAsia"/>
        </w:rPr>
        <w:t>政服务  钟点服务质量规范</w:t>
      </w:r>
      <w:bookmarkEnd w:id="18"/>
    </w:p>
    <w:p>
      <w:pPr>
        <w:pStyle w:val="53"/>
        <w:rPr>
          <w:rFonts w:hint="eastAsia"/>
        </w:rPr>
      </w:pPr>
      <w:r>
        <w:rPr>
          <w:rFonts w:hint="eastAsia"/>
        </w:rPr>
        <w:t>范围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本标准规定了钟点服务涉及的术语和定义、钟点服务分类及要求、家政服务机构基本要求、钟点服务人员管理要求、服务质量保障等。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本标准适用于黑龙江省行政区域内家政服务机构提供的钟点服务。</w:t>
      </w:r>
    </w:p>
    <w:p>
      <w:pPr>
        <w:pStyle w:val="53"/>
        <w:rPr>
          <w:rFonts w:hint="eastAsia"/>
        </w:rPr>
      </w:pPr>
      <w:r>
        <w:rPr>
          <w:rFonts w:hint="eastAsia"/>
        </w:rPr>
        <w:t>规范性引用文件</w:t>
      </w:r>
    </w:p>
    <w:p>
      <w:pPr>
        <w:pStyle w:val="20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0"/>
        <w:rPr>
          <w:rFonts w:hint="eastAsia"/>
        </w:rPr>
      </w:pPr>
      <w:r>
        <w:rPr>
          <w:rFonts w:hint="eastAsia"/>
        </w:rPr>
        <w:t>GB/T 17242 投诉处理指南</w:t>
      </w:r>
    </w:p>
    <w:p>
      <w:pPr>
        <w:pStyle w:val="20"/>
        <w:rPr>
          <w:rFonts w:hint="eastAsia"/>
        </w:rPr>
      </w:pPr>
      <w:r>
        <w:rPr>
          <w:rFonts w:hint="eastAsia"/>
        </w:rPr>
        <w:t>GB/T 20647.8 社区服务指南  第8部分：家政服务</w:t>
      </w:r>
    </w:p>
    <w:p>
      <w:pPr>
        <w:pStyle w:val="20"/>
        <w:rPr>
          <w:rFonts w:hint="eastAsia"/>
        </w:rPr>
      </w:pPr>
      <w:r>
        <w:rPr>
          <w:rFonts w:hint="eastAsia"/>
        </w:rPr>
        <w:t>DB23/T 1412 家庭服务业服务规范</w:t>
      </w:r>
    </w:p>
    <w:p>
      <w:pPr>
        <w:pStyle w:val="20"/>
        <w:rPr>
          <w:rFonts w:hint="eastAsia"/>
        </w:rPr>
      </w:pPr>
      <w:r>
        <w:rPr>
          <w:rFonts w:hint="eastAsia"/>
        </w:rPr>
        <w:t>DB23/T 1455 家政服务  保洁服务质量规范</w:t>
      </w:r>
    </w:p>
    <w:p>
      <w:pPr>
        <w:pStyle w:val="20"/>
        <w:ind w:firstLine="315" w:firstLineChars="150"/>
        <w:rPr>
          <w:rFonts w:hint="eastAsia"/>
        </w:rPr>
      </w:pPr>
      <w:r>
        <w:rPr>
          <w:rFonts w:hint="eastAsia"/>
        </w:rPr>
        <w:t>《中华人民共和国劳动合同法》</w:t>
      </w:r>
    </w:p>
    <w:p>
      <w:pPr>
        <w:pStyle w:val="20"/>
        <w:ind w:firstLine="315" w:firstLineChars="150"/>
        <w:rPr>
          <w:rFonts w:hint="eastAsia"/>
        </w:rPr>
      </w:pPr>
      <w:r>
        <w:rPr>
          <w:rFonts w:hint="eastAsia"/>
        </w:rPr>
        <w:t>《关于非全日制用工若干问题的意见》 （劳社部发[2003]12号）</w:t>
      </w:r>
      <w:bookmarkStart w:id="19" w:name="PRTBK"/>
      <w:bookmarkEnd w:id="19"/>
    </w:p>
    <w:p>
      <w:pPr>
        <w:pStyle w:val="53"/>
        <w:rPr>
          <w:rFonts w:hint="eastAsia"/>
        </w:rPr>
      </w:pPr>
      <w:r>
        <w:rPr>
          <w:rFonts w:hint="eastAsia"/>
        </w:rPr>
        <w:t>术语和定义</w:t>
      </w:r>
    </w:p>
    <w:p>
      <w:pPr>
        <w:pStyle w:val="20"/>
        <w:rPr>
          <w:rFonts w:hint="eastAsia"/>
        </w:rPr>
      </w:pPr>
      <w:r>
        <w:rPr>
          <w:rFonts w:hint="eastAsia"/>
        </w:rPr>
        <w:t>GB/T 20647.8、DB23/T 1412确定的下列术语和定义适用于本标准。</w:t>
      </w:r>
    </w:p>
    <w:p>
      <w:pPr>
        <w:pStyle w:val="48"/>
        <w:rPr>
          <w:rFonts w:hint="eastAsia"/>
        </w:rPr>
      </w:pPr>
      <w:r>
        <w:rPr>
          <w:rFonts w:hint="eastAsia"/>
        </w:rPr>
        <w:t>钟点服务</w:t>
      </w:r>
    </w:p>
    <w:p>
      <w:pPr>
        <w:pStyle w:val="20"/>
        <w:rPr>
          <w:rFonts w:hint="eastAsia" w:hAnsi="宋体"/>
        </w:rPr>
      </w:pPr>
      <w:r>
        <w:rPr>
          <w:rFonts w:hint="eastAsia" w:hAnsi="宋体"/>
        </w:rPr>
        <w:t>根据合同要求，以小时作为薪酬单位的非全日工作制的家政服务。</w:t>
      </w:r>
    </w:p>
    <w:p>
      <w:pPr>
        <w:pStyle w:val="48"/>
        <w:rPr>
          <w:rFonts w:hint="eastAsia"/>
        </w:rPr>
      </w:pPr>
      <w:r>
        <w:rPr>
          <w:rFonts w:hint="eastAsia"/>
        </w:rPr>
        <w:t>家政服务机构</w:t>
      </w:r>
    </w:p>
    <w:p>
      <w:pPr>
        <w:pStyle w:val="20"/>
        <w:rPr>
          <w:rFonts w:hint="eastAsia" w:hAnsi="宋体"/>
        </w:rPr>
      </w:pPr>
      <w:r>
        <w:rPr>
          <w:rFonts w:hint="eastAsia" w:hAnsi="宋体"/>
        </w:rPr>
        <w:t>依法设立并具备相关的资质，从事家政服务经营活动的组织（以下简称服务机构）。</w:t>
      </w:r>
    </w:p>
    <w:p>
      <w:pPr>
        <w:pStyle w:val="48"/>
        <w:rPr>
          <w:rFonts w:hint="eastAsia"/>
        </w:rPr>
      </w:pPr>
      <w:r>
        <w:rPr>
          <w:rFonts w:hint="eastAsia"/>
        </w:rPr>
        <w:t>钟点服务人员</w:t>
      </w:r>
    </w:p>
    <w:p>
      <w:pPr>
        <w:pStyle w:val="20"/>
        <w:rPr>
          <w:rFonts w:hint="eastAsia" w:hAnsi="宋体"/>
        </w:rPr>
      </w:pPr>
      <w:r>
        <w:rPr>
          <w:rFonts w:hint="eastAsia" w:hAnsi="宋体"/>
        </w:rPr>
        <w:t>从事以小时作为薪酬单位的非全日工作制的家政服务人员。俗称钟点工。</w:t>
      </w:r>
    </w:p>
    <w:p>
      <w:pPr>
        <w:pStyle w:val="53"/>
        <w:rPr>
          <w:rFonts w:hint="eastAsia"/>
        </w:rPr>
      </w:pPr>
      <w:r>
        <w:rPr>
          <w:rFonts w:hint="eastAsia"/>
        </w:rPr>
        <w:t>钟点服务分类及要求</w:t>
      </w:r>
    </w:p>
    <w:p>
      <w:pPr>
        <w:pStyle w:val="48"/>
        <w:rPr>
          <w:rFonts w:hint="eastAsia"/>
        </w:rPr>
      </w:pPr>
      <w:r>
        <w:rPr>
          <w:rFonts w:hint="eastAsia"/>
        </w:rPr>
        <w:t>钟点服务分类</w:t>
      </w:r>
    </w:p>
    <w:p>
      <w:pPr>
        <w:pStyle w:val="20"/>
        <w:rPr>
          <w:rFonts w:hint="eastAsia"/>
        </w:rPr>
      </w:pPr>
      <w:r>
        <w:rPr>
          <w:rFonts w:hint="eastAsia"/>
        </w:rPr>
        <w:t>钟点服务分类分为：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保洁服务；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家务服务；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居家养老服务；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育婴服务；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母婴生活护理服务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医院陪护服务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其他服务。</w:t>
      </w:r>
    </w:p>
    <w:p>
      <w:pPr>
        <w:pStyle w:val="48"/>
        <w:rPr>
          <w:rFonts w:hint="eastAsia"/>
        </w:rPr>
      </w:pPr>
      <w:r>
        <w:rPr>
          <w:rFonts w:hint="eastAsia"/>
        </w:rPr>
        <w:t>保洁服务要求</w:t>
      </w:r>
    </w:p>
    <w:p>
      <w:pPr>
        <w:pStyle w:val="20"/>
        <w:rPr>
          <w:rFonts w:hint="eastAsia"/>
        </w:rPr>
      </w:pPr>
      <w:r>
        <w:rPr>
          <w:rFonts w:hint="eastAsia"/>
        </w:rPr>
        <w:t>应符合DB23/T 1455的要求。</w:t>
      </w:r>
    </w:p>
    <w:p>
      <w:pPr>
        <w:pStyle w:val="48"/>
        <w:rPr>
          <w:rFonts w:hint="eastAsia"/>
        </w:rPr>
      </w:pPr>
      <w:r>
        <w:rPr>
          <w:rFonts w:hint="eastAsia"/>
        </w:rPr>
        <w:t>家务服务要求</w:t>
      </w:r>
    </w:p>
    <w:p>
      <w:pPr>
        <w:pStyle w:val="20"/>
        <w:rPr>
          <w:rFonts w:hint="eastAsia"/>
        </w:rPr>
      </w:pPr>
      <w:r>
        <w:rPr>
          <w:rFonts w:hint="eastAsia"/>
        </w:rPr>
        <w:t>应符合DB23/T 1412的要求。</w:t>
      </w:r>
    </w:p>
    <w:p>
      <w:pPr>
        <w:pStyle w:val="48"/>
        <w:rPr>
          <w:rFonts w:hint="eastAsia"/>
        </w:rPr>
      </w:pPr>
      <w:r>
        <w:rPr>
          <w:rFonts w:hint="eastAsia"/>
        </w:rPr>
        <w:t>居家养老服务要求</w:t>
      </w:r>
    </w:p>
    <w:p>
      <w:pPr>
        <w:pStyle w:val="20"/>
        <w:rPr>
          <w:rFonts w:hint="eastAsia"/>
        </w:rPr>
      </w:pPr>
      <w:r>
        <w:rPr>
          <w:rFonts w:hint="eastAsia"/>
        </w:rPr>
        <w:t>应符合DB23/T 1412的要求。</w:t>
      </w:r>
    </w:p>
    <w:p>
      <w:pPr>
        <w:pStyle w:val="48"/>
        <w:rPr>
          <w:rFonts w:hint="eastAsia"/>
        </w:rPr>
      </w:pPr>
      <w:r>
        <w:rPr>
          <w:rFonts w:hint="eastAsia"/>
        </w:rPr>
        <w:t>育婴服务要求</w:t>
      </w:r>
    </w:p>
    <w:p>
      <w:pPr>
        <w:pStyle w:val="20"/>
        <w:rPr>
          <w:rFonts w:hint="eastAsia"/>
        </w:rPr>
      </w:pPr>
      <w:r>
        <w:rPr>
          <w:rFonts w:hint="eastAsia"/>
        </w:rPr>
        <w:t>应符合DB23/T 1412的要求。</w:t>
      </w:r>
    </w:p>
    <w:p>
      <w:pPr>
        <w:pStyle w:val="48"/>
        <w:rPr>
          <w:rFonts w:hint="eastAsia"/>
        </w:rPr>
      </w:pPr>
      <w:r>
        <w:rPr>
          <w:rFonts w:hint="eastAsia"/>
        </w:rPr>
        <w:t>母婴生活护理服务要求</w:t>
      </w:r>
    </w:p>
    <w:p>
      <w:pPr>
        <w:pStyle w:val="20"/>
        <w:rPr>
          <w:rFonts w:hint="eastAsia"/>
        </w:rPr>
      </w:pPr>
      <w:r>
        <w:rPr>
          <w:rFonts w:hint="eastAsia"/>
        </w:rPr>
        <w:t>应符合DB23/T 1412的要求。</w:t>
      </w:r>
    </w:p>
    <w:p>
      <w:pPr>
        <w:pStyle w:val="48"/>
        <w:rPr>
          <w:rFonts w:hint="eastAsia"/>
        </w:rPr>
      </w:pPr>
      <w:r>
        <w:rPr>
          <w:rFonts w:hint="eastAsia"/>
        </w:rPr>
        <w:t>医院陪护服务要求</w:t>
      </w:r>
    </w:p>
    <w:p>
      <w:pPr>
        <w:pStyle w:val="20"/>
        <w:rPr>
          <w:rFonts w:hint="eastAsia"/>
        </w:rPr>
      </w:pPr>
      <w:r>
        <w:rPr>
          <w:rFonts w:hint="eastAsia"/>
        </w:rPr>
        <w:t>应符合DB23/T 1412的要求。</w:t>
      </w:r>
    </w:p>
    <w:p>
      <w:pPr>
        <w:pStyle w:val="48"/>
        <w:rPr>
          <w:rFonts w:hint="eastAsia"/>
        </w:rPr>
      </w:pPr>
      <w:r>
        <w:rPr>
          <w:rFonts w:hint="eastAsia"/>
        </w:rPr>
        <w:t>其他服务要求</w:t>
      </w:r>
    </w:p>
    <w:p>
      <w:pPr>
        <w:pStyle w:val="20"/>
        <w:rPr>
          <w:rFonts w:hint="eastAsia"/>
        </w:rPr>
      </w:pPr>
      <w:r>
        <w:rPr>
          <w:rFonts w:hint="eastAsia"/>
        </w:rPr>
        <w:t>其他服务应严格履行服务合同约定，并确保所提供服务的质量。</w:t>
      </w:r>
    </w:p>
    <w:p>
      <w:pPr>
        <w:pStyle w:val="53"/>
        <w:rPr>
          <w:rFonts w:hint="eastAsia"/>
        </w:rPr>
      </w:pPr>
      <w:r>
        <w:rPr>
          <w:rFonts w:hint="eastAsia"/>
        </w:rPr>
        <w:t>家政服务机构基本要求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家政服务机构除应根据服务分类符合GD/T 20647.8中第5章的要求外，还应符合下列要求：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保洁服务机构应符合DB23/T 1455中第5章的要求；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家务服务机构应符合DB23/T 1412中第4章的要求；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居家养老服务机构应符合DB23/T 1412中第4章的要求；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育婴服务机构应符合DB23/T 1412中第4章的要求；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母婴生活护理服务机构应符合DB23/T 1412中第4章的要求；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医院陪护服务机构应符合DB23/T 1412中第4章的要求；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其他服务人员资质服务合同约定。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钟点服务人员职业资质要求除应根据服务分类符合GB/T 20647.8中第6章的规定外，还应符合下列要求：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保洁服务人员资质应符合DB23/T 1455中第6章的要求；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家务服务人员资质应符合DB23/T 1412中第5章的要求；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居家养老服务人员资质应符合DB23/T 1412中第5章的要求；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育婴服务人员资质应符合DB23/T 1412中第5章的要求；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母婴生活护理服务人员资质应符合DB23/T 1412中第5章的要求；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医院陪护人员资质应符合DB23/T 1412中第5章的要求；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其他服务人员资质服务合同约定。</w:t>
      </w:r>
    </w:p>
    <w:p>
      <w:pPr>
        <w:pStyle w:val="53"/>
        <w:rPr>
          <w:rFonts w:hint="eastAsia"/>
        </w:rPr>
      </w:pPr>
      <w:r>
        <w:rPr>
          <w:rFonts w:hint="eastAsia"/>
        </w:rPr>
        <w:t>钟点服务人员管理要求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钟点服务人员管理应符合《中华人民共和国劳动合同法》、《关于非全日制用工若干问题的意见》（劳社部发[2003]12号）等国家相关法律、法规和规章的要求。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服务机构应对钟点服务人员的服务技能进行不间断培训，加强职业道德教育，使钟点服务人员具备该职业所需的道德规范、知识及技能。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服务机构应合理安排、统筹钟点服务时间，提高钟点服务质量。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钟点服务人员记录钟点服务起止时间应双方协商，征得客户同意。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钟点服务人员的服务合同应符合GB/T 20647.8的要求，具体应：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员工管理制模式组织的服务合同应符合GB/T 20647.8中5.4.2.2的要求；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中介管理制模式组织的服务合同应符合GB/T 20647.8中5.4.2.3的要求；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劳动合同应符合GB/T 20647.8中5.4.2.3的要求；</w:t>
      </w:r>
    </w:p>
    <w:p>
      <w:pPr>
        <w:pStyle w:val="20"/>
        <w:rPr>
          <w:rFonts w:hint="eastAsia" w:hAnsi="宋体"/>
        </w:rPr>
      </w:pPr>
      <w:r>
        <w:rPr>
          <w:rFonts w:hint="eastAsia" w:ascii="黑体" w:eastAsia="黑体"/>
        </w:rPr>
        <w:t>——</w:t>
      </w:r>
      <w:r>
        <w:rPr>
          <w:rFonts w:hint="eastAsia" w:hAnsi="宋体"/>
        </w:rPr>
        <w:t>培训合同应符合GB/T 20647.8中5.4.2.4的要求。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钟点服务人员的档案管理</w:t>
      </w:r>
    </w:p>
    <w:p>
      <w:pPr>
        <w:pStyle w:val="20"/>
        <w:rPr>
          <w:rFonts w:hint="eastAsia"/>
        </w:rPr>
      </w:pPr>
      <w:r>
        <w:rPr>
          <w:rFonts w:hint="eastAsia"/>
        </w:rPr>
        <w:t>钟点服务人员的档案管理应符合GB/T 20647.8中5.3.2的要求。</w:t>
      </w:r>
    </w:p>
    <w:p>
      <w:pPr>
        <w:pStyle w:val="53"/>
        <w:rPr>
          <w:rFonts w:hint="eastAsia"/>
        </w:rPr>
      </w:pPr>
      <w:r>
        <w:rPr>
          <w:rFonts w:hint="eastAsia"/>
        </w:rPr>
        <w:t>服务质量保障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客户反馈意见评价</w:t>
      </w:r>
    </w:p>
    <w:p>
      <w:pPr>
        <w:pStyle w:val="20"/>
        <w:rPr>
          <w:rFonts w:hint="eastAsia"/>
        </w:rPr>
      </w:pPr>
      <w:r>
        <w:rPr>
          <w:rFonts w:hint="eastAsia"/>
        </w:rPr>
        <w:t>服务机构应通过有效的渠道收集相关客户的反馈意见，及时了解钟点服务人员的服务情况，从而改进服务质量，提高钟点服务人员的服务水平。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服务质量监督</w:t>
      </w:r>
    </w:p>
    <w:p>
      <w:pPr>
        <w:pStyle w:val="20"/>
        <w:rPr>
          <w:rFonts w:hint="eastAsia"/>
        </w:rPr>
      </w:pPr>
      <w:r>
        <w:rPr>
          <w:rFonts w:hint="eastAsia"/>
        </w:rPr>
        <w:t>服务机构应自觉接受社会及相关部门的监督。</w:t>
      </w:r>
    </w:p>
    <w:p>
      <w:pPr>
        <w:pStyle w:val="4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服务质量投诉</w:t>
      </w:r>
    </w:p>
    <w:p>
      <w:pPr>
        <w:pStyle w:val="66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客户和服务机构发生服务质量争议，服务机构可与客户协商处理，也可请消费者协会或其他有关部门处理。</w:t>
      </w:r>
    </w:p>
    <w:p>
      <w:pPr>
        <w:pStyle w:val="66"/>
        <w:spacing w:before="156" w:after="156"/>
        <w:rPr>
          <w:rFonts w:hint="eastAsia"/>
        </w:rPr>
      </w:pPr>
      <w:r>
        <w:rPr>
          <w:rFonts w:hint="eastAsia" w:ascii="宋体" w:hAnsi="宋体" w:eastAsia="宋体"/>
        </w:rPr>
        <w:t>钟点服务质量投诉处理程序应参照GB/T 17242中第6章的规定。</w:t>
      </w:r>
    </w:p>
    <w:p>
      <w:pPr>
        <w:pStyle w:val="20"/>
        <w:rPr>
          <w:rFonts w:hint="eastAsia"/>
        </w:rPr>
      </w:pPr>
    </w:p>
    <w:p>
      <w:pPr>
        <w:pStyle w:val="51"/>
        <w:rPr>
          <w:rFonts w:hint="eastAsia"/>
        </w:rPr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/>
      </w:rP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</w:pPr>
    <w:r>
      <w:t>DB23/ T 1581.1—2015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6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84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9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69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4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5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8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8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4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8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42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8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7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76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2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108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39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10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9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1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4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16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1" w:cryptProviderType="rsaFull" w:cryptAlgorithmClass="hash" w:cryptAlgorithmType="typeAny" w:cryptAlgorithmSid="4" w:cryptSpinCount="0" w:hash="fELIym3PiuDeL5/K75nVEPmGSz4=" w:salt="fQlp5KhN1LXLmMxV8WFVnA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A6791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A4F4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2A9D"/>
    <w:rsid w:val="00164E53"/>
    <w:rsid w:val="0016699D"/>
    <w:rsid w:val="00175159"/>
    <w:rsid w:val="00176208"/>
    <w:rsid w:val="0018211B"/>
    <w:rsid w:val="001840D3"/>
    <w:rsid w:val="00185182"/>
    <w:rsid w:val="001900F8"/>
    <w:rsid w:val="00190FF5"/>
    <w:rsid w:val="00191258"/>
    <w:rsid w:val="00192680"/>
    <w:rsid w:val="00193037"/>
    <w:rsid w:val="00193A2C"/>
    <w:rsid w:val="001A288E"/>
    <w:rsid w:val="001B291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676C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32F6"/>
    <w:rsid w:val="00425082"/>
    <w:rsid w:val="00431DEB"/>
    <w:rsid w:val="00435570"/>
    <w:rsid w:val="0043755D"/>
    <w:rsid w:val="00446B29"/>
    <w:rsid w:val="00453F9A"/>
    <w:rsid w:val="00471E91"/>
    <w:rsid w:val="00474675"/>
    <w:rsid w:val="0047470C"/>
    <w:rsid w:val="00486E1E"/>
    <w:rsid w:val="004A35F9"/>
    <w:rsid w:val="004B24C1"/>
    <w:rsid w:val="004C292F"/>
    <w:rsid w:val="004E3D2A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1B2C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54AE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0E45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13C29"/>
    <w:rsid w:val="00A22154"/>
    <w:rsid w:val="00A25C38"/>
    <w:rsid w:val="00A36BBE"/>
    <w:rsid w:val="00A4307A"/>
    <w:rsid w:val="00A47EBB"/>
    <w:rsid w:val="00A51CDD"/>
    <w:rsid w:val="00A66566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9F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96F74"/>
    <w:rsid w:val="00DA0C59"/>
    <w:rsid w:val="00DA3991"/>
    <w:rsid w:val="00DB7E6C"/>
    <w:rsid w:val="00DD5A29"/>
    <w:rsid w:val="00DD5D9D"/>
    <w:rsid w:val="00DE35CB"/>
    <w:rsid w:val="00DE68D7"/>
    <w:rsid w:val="00DF21E9"/>
    <w:rsid w:val="00DF7449"/>
    <w:rsid w:val="00E002C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3DDC"/>
    <w:rsid w:val="00F34B9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  <w:rsid w:val="5B101DCB"/>
    <w:rsid w:val="6EFA6791"/>
    <w:rsid w:val="79F52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Style w:val="2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footer"/>
    <w:basedOn w:val="1"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semiHidden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130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lang w:val="en-US" w:eastAsia="zh-CN" w:bidi="ar-SA"/>
    </w:rPr>
  </w:style>
  <w:style w:type="paragraph" w:styleId="21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uiPriority w:val="0"/>
    <w:rPr>
      <w:rFonts w:ascii="宋体"/>
      <w:sz w:val="18"/>
      <w:szCs w:val="18"/>
    </w:rPr>
    <w:tblPr>
      <w:tblStyle w:val="2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semiHidden/>
    <w:uiPriority w:val="0"/>
    <w:rPr>
      <w:vertAlign w:val="superscript"/>
    </w:rPr>
  </w:style>
  <w:style w:type="character" w:styleId="32">
    <w:name w:val="page number"/>
    <w:basedOn w:val="30"/>
    <w:uiPriority w:val="0"/>
    <w:rPr>
      <w:rFonts w:ascii="Times New Roman" w:hAnsi="Times New Roman" w:eastAsia="宋体"/>
      <w:sz w:val="18"/>
    </w:rPr>
  </w:style>
  <w:style w:type="character" w:styleId="33">
    <w:name w:val="FollowedHyperlink"/>
    <w:basedOn w:val="30"/>
    <w:uiPriority w:val="0"/>
    <w:rPr>
      <w:color w:val="800080"/>
      <w:u w:val="single"/>
    </w:rPr>
  </w:style>
  <w:style w:type="character" w:styleId="34">
    <w:name w:val="Hyperlink"/>
    <w:basedOn w:val="30"/>
    <w:uiPriority w:val="0"/>
    <w:rPr>
      <w:color w:val="0000FF"/>
      <w:spacing w:val="0"/>
      <w:w w:val="100"/>
      <w:szCs w:val="21"/>
      <w:u w:val="single"/>
      <w:lang/>
    </w:rPr>
  </w:style>
  <w:style w:type="character" w:styleId="35">
    <w:name w:val="footnote reference"/>
    <w:basedOn w:val="30"/>
    <w:semiHidden/>
    <w:uiPriority w:val="0"/>
    <w:rPr>
      <w:vertAlign w:val="superscript"/>
    </w:rPr>
  </w:style>
  <w:style w:type="paragraph" w:customStyle="1" w:styleId="36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  <w:lang/>
    </w:rPr>
  </w:style>
  <w:style w:type="paragraph" w:customStyle="1" w:styleId="37">
    <w:name w:val="附录公式"/>
    <w:basedOn w:val="20"/>
    <w:next w:val="20"/>
    <w:link w:val="129"/>
    <w:qFormat/>
    <w:uiPriority w:val="0"/>
  </w:style>
  <w:style w:type="paragraph" w:customStyle="1" w:styleId="38">
    <w:name w:val="附录标题"/>
    <w:basedOn w:val="20"/>
    <w:next w:val="20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39">
    <w:name w:val="附录表标题"/>
    <w:basedOn w:val="1"/>
    <w:next w:val="20"/>
    <w:uiPriority w:val="0"/>
    <w:pPr>
      <w:numPr>
        <w:ilvl w:val="1"/>
        <w:numId w:val="2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40">
    <w:name w:val="注×：（正文）"/>
    <w:uiPriority w:val="0"/>
    <w:pPr>
      <w:numPr>
        <w:ilvl w:val="0"/>
        <w:numId w:val="3"/>
      </w:numPr>
      <w:jc w:val="both"/>
    </w:pPr>
    <w:rPr>
      <w:rFonts w:ascii="宋体"/>
      <w:sz w:val="18"/>
      <w:szCs w:val="18"/>
      <w:lang w:val="en-US" w:eastAsia="zh-CN" w:bidi="ar-SA"/>
    </w:rPr>
  </w:style>
  <w:style w:type="paragraph" w:customStyle="1" w:styleId="41">
    <w:name w:val="附录图标题"/>
    <w:basedOn w:val="1"/>
    <w:next w:val="20"/>
    <w:uiPriority w:val="0"/>
    <w:pPr>
      <w:numPr>
        <w:ilvl w:val="1"/>
        <w:numId w:val="4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42">
    <w:name w:val="列项◆（三级）"/>
    <w:basedOn w:val="1"/>
    <w:uiPriority w:val="0"/>
    <w:pPr>
      <w:numPr>
        <w:ilvl w:val="2"/>
        <w:numId w:val="5"/>
      </w:numPr>
    </w:pPr>
    <w:rPr>
      <w:rFonts w:ascii="宋体"/>
      <w:szCs w:val="21"/>
    </w:rPr>
  </w:style>
  <w:style w:type="paragraph" w:customStyle="1" w:styleId="43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  <w:lang w:val="en-US" w:eastAsia="zh-CN" w:bidi="ar-SA"/>
    </w:rPr>
  </w:style>
  <w:style w:type="paragraph" w:customStyle="1" w:styleId="44">
    <w:name w:val="注："/>
    <w:next w:val="20"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/>
      <w:sz w:val="18"/>
      <w:szCs w:val="18"/>
      <w:lang w:val="en-US" w:eastAsia="zh-CN" w:bidi="ar-SA"/>
    </w:rPr>
  </w:style>
  <w:style w:type="paragraph" w:customStyle="1" w:styleId="45">
    <w:name w:val="列项●（二级）"/>
    <w:uiPriority w:val="0"/>
    <w:pPr>
      <w:numPr>
        <w:ilvl w:val="1"/>
        <w:numId w:val="5"/>
      </w:numPr>
      <w:tabs>
        <w:tab w:val="left" w:pos="840"/>
      </w:tabs>
      <w:jc w:val="both"/>
    </w:pPr>
    <w:rPr>
      <w:rFonts w:ascii="宋体"/>
      <w:sz w:val="21"/>
      <w:lang w:val="en-US" w:eastAsia="zh-CN" w:bidi="ar-SA"/>
    </w:rPr>
  </w:style>
  <w:style w:type="paragraph" w:customStyle="1" w:styleId="46">
    <w:name w:val="封面标准英文名称"/>
    <w:basedOn w:val="47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47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  <w:lang w:val="en-US" w:eastAsia="zh-CN" w:bidi="ar-SA"/>
    </w:rPr>
  </w:style>
  <w:style w:type="paragraph" w:customStyle="1" w:styleId="48">
    <w:name w:val="一级条标题"/>
    <w:next w:val="20"/>
    <w:uiPriority w:val="0"/>
    <w:pPr>
      <w:numPr>
        <w:ilvl w:val="1"/>
        <w:numId w:val="7"/>
      </w:numPr>
      <w:spacing w:before="156" w:beforeLines="50" w:after="156" w:afterLines="50"/>
      <w:ind w:left="0"/>
      <w:outlineLvl w:val="2"/>
    </w:pPr>
    <w:rPr>
      <w:rFonts w:ascii="黑体" w:eastAsia="黑体"/>
      <w:sz w:val="21"/>
      <w:szCs w:val="21"/>
      <w:lang w:val="en-US" w:eastAsia="zh-CN" w:bidi="ar-SA"/>
    </w:rPr>
  </w:style>
  <w:style w:type="paragraph" w:customStyle="1" w:styleId="49">
    <w:name w:val="标准书眉_偶数页"/>
    <w:basedOn w:val="50"/>
    <w:next w:val="1"/>
    <w:uiPriority w:val="0"/>
    <w:pPr>
      <w:tabs>
        <w:tab w:val="center" w:pos="4154"/>
        <w:tab w:val="right" w:pos="8306"/>
      </w:tabs>
      <w:jc w:val="left"/>
    </w:pPr>
    <w:rPr>
      <w:rFonts w:ascii="黑体" w:eastAsia="黑体"/>
    </w:rPr>
  </w:style>
  <w:style w:type="paragraph" w:customStyle="1" w:styleId="50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  <w:lang w:val="en-US" w:eastAsia="zh-CN" w:bidi="ar-SA"/>
    </w:rPr>
  </w:style>
  <w:style w:type="paragraph" w:customStyle="1" w:styleId="51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52">
    <w:name w:val="示例×："/>
    <w:basedOn w:val="53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53">
    <w:name w:val="章标题"/>
    <w:next w:val="20"/>
    <w:uiPriority w:val="0"/>
    <w:pPr>
      <w:numPr>
        <w:ilvl w:val="0"/>
        <w:numId w:val="7"/>
      </w:numPr>
      <w:spacing w:before="312" w:beforeLines="100" w:after="312" w:afterLines="100"/>
      <w:jc w:val="both"/>
      <w:outlineLvl w:val="1"/>
    </w:pPr>
    <w:rPr>
      <w:rFonts w:ascii="黑体" w:eastAsia="黑体"/>
      <w:sz w:val="21"/>
      <w:lang w:val="en-US" w:eastAsia="zh-CN" w:bidi="ar-SA"/>
    </w:rPr>
  </w:style>
  <w:style w:type="paragraph" w:customStyle="1" w:styleId="54">
    <w:name w:val="目次、标准名称标题"/>
    <w:basedOn w:val="1"/>
    <w:next w:val="20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5">
    <w:name w:val="列项说明数字编号"/>
    <w:uiPriority w:val="0"/>
    <w:pPr>
      <w:ind w:left="600" w:leftChars="400" w:hanging="200" w:hangingChars="200"/>
    </w:pPr>
    <w:rPr>
      <w:rFonts w:ascii="宋体"/>
      <w:sz w:val="21"/>
      <w:lang w:val="en-US" w:eastAsia="zh-CN" w:bidi="ar-SA"/>
    </w:rPr>
  </w:style>
  <w:style w:type="paragraph" w:customStyle="1" w:styleId="56">
    <w:name w:val="标准书脚_偶数页"/>
    <w:uiPriority w:val="0"/>
    <w:pPr>
      <w:spacing w:before="120"/>
      <w:ind w:left="221"/>
    </w:pPr>
    <w:rPr>
      <w:rFonts w:ascii="宋体"/>
      <w:sz w:val="18"/>
      <w:szCs w:val="18"/>
      <w:lang w:val="en-US" w:eastAsia="zh-CN" w:bidi="ar-SA"/>
    </w:rPr>
  </w:style>
  <w:style w:type="paragraph" w:customStyle="1" w:styleId="57">
    <w:name w:val="封面标准名称2"/>
    <w:basedOn w:val="47"/>
    <w:uiPriority w:val="0"/>
    <w:pPr>
      <w:framePr w:y="4469"/>
      <w:spacing w:before="630" w:beforeLines="630"/>
    </w:pPr>
  </w:style>
  <w:style w:type="paragraph" w:customStyle="1" w:styleId="58">
    <w:name w:val="附录五级条标题"/>
    <w:basedOn w:val="59"/>
    <w:next w:val="20"/>
    <w:uiPriority w:val="0"/>
    <w:pPr>
      <w:numPr>
        <w:ilvl w:val="6"/>
        <w:numId w:val="9"/>
      </w:numPr>
      <w:tabs>
        <w:tab w:val="left" w:pos="360"/>
      </w:tabs>
      <w:outlineLvl w:val="6"/>
    </w:pPr>
  </w:style>
  <w:style w:type="paragraph" w:customStyle="1" w:styleId="59">
    <w:name w:val="附录四级条标题"/>
    <w:basedOn w:val="60"/>
    <w:next w:val="20"/>
    <w:uiPriority w:val="0"/>
    <w:pPr>
      <w:numPr>
        <w:ilvl w:val="5"/>
        <w:numId w:val="9"/>
      </w:numPr>
      <w:tabs>
        <w:tab w:val="left" w:pos="360"/>
      </w:tabs>
      <w:outlineLvl w:val="5"/>
    </w:pPr>
  </w:style>
  <w:style w:type="paragraph" w:customStyle="1" w:styleId="60">
    <w:name w:val="附录三级条标题"/>
    <w:basedOn w:val="61"/>
    <w:next w:val="20"/>
    <w:uiPriority w:val="0"/>
    <w:pPr>
      <w:numPr>
        <w:ilvl w:val="4"/>
        <w:numId w:val="9"/>
      </w:numPr>
      <w:tabs>
        <w:tab w:val="left" w:pos="360"/>
      </w:tabs>
      <w:outlineLvl w:val="4"/>
    </w:pPr>
  </w:style>
  <w:style w:type="paragraph" w:customStyle="1" w:styleId="61">
    <w:name w:val="附录二级条标题"/>
    <w:basedOn w:val="1"/>
    <w:next w:val="20"/>
    <w:uiPriority w:val="0"/>
    <w:pPr>
      <w:widowControl/>
      <w:numPr>
        <w:ilvl w:val="3"/>
        <w:numId w:val="9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62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  <w:lang w:val="en-US" w:eastAsia="zh-CN" w:bidi="ar-SA"/>
    </w:rPr>
  </w:style>
  <w:style w:type="paragraph" w:customStyle="1" w:styleId="63">
    <w:name w:val="标准书脚_奇数页"/>
    <w:uiPriority w:val="0"/>
    <w:pPr>
      <w:spacing w:before="120"/>
      <w:ind w:right="198"/>
      <w:jc w:val="right"/>
    </w:pPr>
    <w:rPr>
      <w:rFonts w:ascii="宋体"/>
      <w:sz w:val="18"/>
      <w:szCs w:val="18"/>
      <w:lang w:val="en-US" w:eastAsia="zh-CN" w:bidi="ar-SA"/>
    </w:rPr>
  </w:style>
  <w:style w:type="paragraph" w:customStyle="1" w:styleId="64">
    <w:name w:val="注×："/>
    <w:uiPriority w:val="0"/>
    <w:pPr>
      <w:widowControl w:val="0"/>
      <w:numPr>
        <w:ilvl w:val="0"/>
        <w:numId w:val="10"/>
      </w:numPr>
      <w:autoSpaceDE w:val="0"/>
      <w:autoSpaceDN w:val="0"/>
      <w:jc w:val="both"/>
    </w:pPr>
    <w:rPr>
      <w:rFonts w:ascii="宋体"/>
      <w:sz w:val="18"/>
      <w:szCs w:val="18"/>
      <w:lang w:val="en-US" w:eastAsia="zh-CN" w:bidi="ar-SA"/>
    </w:rPr>
  </w:style>
  <w:style w:type="paragraph" w:customStyle="1" w:styleId="65">
    <w:name w:val="三级条标题"/>
    <w:basedOn w:val="66"/>
    <w:next w:val="20"/>
    <w:uiPriority w:val="0"/>
    <w:pPr>
      <w:numPr>
        <w:ilvl w:val="3"/>
        <w:numId w:val="7"/>
      </w:numPr>
      <w:outlineLvl w:val="4"/>
    </w:pPr>
  </w:style>
  <w:style w:type="paragraph" w:customStyle="1" w:styleId="66">
    <w:name w:val="二级条标题"/>
    <w:basedOn w:val="48"/>
    <w:next w:val="20"/>
    <w:uiPriority w:val="0"/>
    <w:pPr>
      <w:numPr>
        <w:ilvl w:val="2"/>
        <w:numId w:val="7"/>
      </w:numPr>
      <w:spacing w:before="50" w:after="50"/>
      <w:outlineLvl w:val="3"/>
    </w:pPr>
  </w:style>
  <w:style w:type="paragraph" w:customStyle="1" w:styleId="67">
    <w:name w:val="五级条标题"/>
    <w:basedOn w:val="68"/>
    <w:next w:val="20"/>
    <w:uiPriority w:val="0"/>
    <w:pPr>
      <w:numPr>
        <w:ilvl w:val="5"/>
        <w:numId w:val="7"/>
      </w:numPr>
      <w:outlineLvl w:val="6"/>
    </w:pPr>
  </w:style>
  <w:style w:type="paragraph" w:customStyle="1" w:styleId="68">
    <w:name w:val="四级条标题"/>
    <w:basedOn w:val="65"/>
    <w:next w:val="20"/>
    <w:uiPriority w:val="0"/>
    <w:pPr>
      <w:numPr>
        <w:ilvl w:val="4"/>
        <w:numId w:val="7"/>
      </w:numPr>
      <w:outlineLvl w:val="5"/>
    </w:pPr>
  </w:style>
  <w:style w:type="paragraph" w:customStyle="1" w:styleId="69">
    <w:name w:val="图表脚注说明"/>
    <w:basedOn w:val="1"/>
    <w:uiPriority w:val="0"/>
    <w:pPr>
      <w:numPr>
        <w:ilvl w:val="0"/>
        <w:numId w:val="11"/>
      </w:numPr>
    </w:pPr>
    <w:rPr>
      <w:rFonts w:ascii="宋体"/>
      <w:sz w:val="18"/>
      <w:szCs w:val="18"/>
    </w:rPr>
  </w:style>
  <w:style w:type="paragraph" w:customStyle="1" w:styleId="70">
    <w:name w:val="数字编号列项（二级）"/>
    <w:uiPriority w:val="0"/>
    <w:pPr>
      <w:numPr>
        <w:ilvl w:val="1"/>
        <w:numId w:val="12"/>
      </w:numPr>
      <w:jc w:val="both"/>
    </w:pPr>
    <w:rPr>
      <w:rFonts w:ascii="宋体"/>
      <w:sz w:val="21"/>
      <w:lang w:val="en-US" w:eastAsia="zh-CN" w:bidi="ar-SA"/>
    </w:rPr>
  </w:style>
  <w:style w:type="paragraph" w:customStyle="1" w:styleId="71">
    <w:name w:val="封面标准英文名称2"/>
    <w:basedOn w:val="46"/>
    <w:uiPriority w:val="0"/>
    <w:pPr>
      <w:framePr w:y="4469"/>
    </w:pPr>
  </w:style>
  <w:style w:type="paragraph" w:customStyle="1" w:styleId="72">
    <w:name w:val="其他实施日期"/>
    <w:basedOn w:val="73"/>
    <w:uiPriority w:val="0"/>
  </w:style>
  <w:style w:type="paragraph" w:customStyle="1" w:styleId="73">
    <w:name w:val="实施日期"/>
    <w:basedOn w:val="74"/>
    <w:uiPriority w:val="0"/>
    <w:pPr>
      <w:framePr w:vAnchor="page" w:hAnchor="text"/>
      <w:jc w:val="right"/>
    </w:pPr>
  </w:style>
  <w:style w:type="paragraph" w:customStyle="1" w:styleId="74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eastAsia="黑体"/>
      <w:sz w:val="28"/>
      <w:lang w:val="en-US" w:eastAsia="zh-CN" w:bidi="ar-SA"/>
    </w:rPr>
  </w:style>
  <w:style w:type="paragraph" w:customStyle="1" w:styleId="75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/>
      <w:spacing w:val="-40"/>
      <w:sz w:val="48"/>
      <w:szCs w:val="52"/>
      <w:lang w:val="en-US" w:eastAsia="zh-CN" w:bidi="ar-SA"/>
    </w:rPr>
  </w:style>
  <w:style w:type="paragraph" w:customStyle="1" w:styleId="76">
    <w:name w:val="编号列项（三级）"/>
    <w:uiPriority w:val="0"/>
    <w:pPr>
      <w:numPr>
        <w:ilvl w:val="2"/>
        <w:numId w:val="12"/>
      </w:numPr>
    </w:pPr>
    <w:rPr>
      <w:rFonts w:ascii="宋体"/>
      <w:sz w:val="21"/>
      <w:lang w:val="en-US" w:eastAsia="zh-CN" w:bidi="ar-SA"/>
    </w:rPr>
  </w:style>
  <w:style w:type="paragraph" w:customStyle="1" w:styleId="77">
    <w:name w:val="其他标准标志"/>
    <w:basedOn w:val="62"/>
    <w:uiPriority w:val="0"/>
    <w:pPr>
      <w:framePr w:w="6101" w:vAnchor="page" w:hAnchor="page" w:x="4673" w:y="942"/>
    </w:pPr>
    <w:rPr>
      <w:w w:val="130"/>
    </w:rPr>
  </w:style>
  <w:style w:type="paragraph" w:customStyle="1" w:styleId="78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eastAsia="黑体"/>
      <w:sz w:val="21"/>
      <w:szCs w:val="21"/>
      <w:lang w:val="en-US" w:eastAsia="zh-CN" w:bidi="ar-SA"/>
    </w:rPr>
  </w:style>
  <w:style w:type="paragraph" w:customStyle="1" w:styleId="79">
    <w:name w:val="参考文献、索引标题"/>
    <w:basedOn w:val="1"/>
    <w:next w:val="20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0">
    <w:name w:val="注：（正文）"/>
    <w:basedOn w:val="44"/>
    <w:next w:val="20"/>
    <w:uiPriority w:val="0"/>
  </w:style>
  <w:style w:type="paragraph" w:customStyle="1" w:styleId="81">
    <w:name w:val="字母编号列项（一级）"/>
    <w:uiPriority w:val="0"/>
    <w:pPr>
      <w:numPr>
        <w:ilvl w:val="0"/>
        <w:numId w:val="12"/>
      </w:numPr>
      <w:jc w:val="both"/>
    </w:pPr>
    <w:rPr>
      <w:rFonts w:ascii="宋体"/>
      <w:sz w:val="21"/>
      <w:lang w:val="en-US" w:eastAsia="zh-CN" w:bidi="ar-SA"/>
    </w:rPr>
  </w:style>
  <w:style w:type="paragraph" w:customStyle="1" w:styleId="82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83">
    <w:name w:val="示例内容"/>
    <w:uiPriority w:val="0"/>
    <w:pPr>
      <w:ind w:firstLine="200" w:firstLineChars="200"/>
    </w:pPr>
    <w:rPr>
      <w:rFonts w:ascii="宋体"/>
      <w:sz w:val="18"/>
      <w:szCs w:val="18"/>
      <w:lang w:val="en-US" w:eastAsia="zh-CN" w:bidi="ar-SA"/>
    </w:rPr>
  </w:style>
  <w:style w:type="paragraph" w:customStyle="1" w:styleId="84">
    <w:name w:val="首示例"/>
    <w:next w:val="20"/>
    <w:link w:val="128"/>
    <w:qFormat/>
    <w:uiPriority w:val="0"/>
    <w:pPr>
      <w:numPr>
        <w:ilvl w:val="0"/>
        <w:numId w:val="13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85">
    <w:name w:val="列项——（一级）"/>
    <w:uiPriority w:val="0"/>
    <w:pPr>
      <w:widowControl w:val="0"/>
      <w:numPr>
        <w:ilvl w:val="0"/>
        <w:numId w:val="5"/>
      </w:numPr>
      <w:jc w:val="both"/>
    </w:pPr>
    <w:rPr>
      <w:rFonts w:ascii="宋体"/>
      <w:sz w:val="21"/>
      <w:lang w:val="en-US" w:eastAsia="zh-CN" w:bidi="ar-SA"/>
    </w:rPr>
  </w:style>
  <w:style w:type="paragraph" w:customStyle="1" w:styleId="86">
    <w:name w:val="附录图标号"/>
    <w:basedOn w:val="1"/>
    <w:uiPriority w:val="0"/>
    <w:pPr>
      <w:keepNext/>
      <w:pageBreakBefore/>
      <w:widowControl/>
      <w:numPr>
        <w:ilvl w:val="0"/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87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  <w:lang w:val="en-US" w:eastAsia="zh-CN" w:bidi="ar-SA"/>
    </w:rPr>
  </w:style>
  <w:style w:type="paragraph" w:customStyle="1" w:styleId="88">
    <w:name w:val="其他发布日期"/>
    <w:basedOn w:val="74"/>
    <w:uiPriority w:val="0"/>
    <w:pPr>
      <w:framePr w:vAnchor="page" w:hAnchor="text" w:x="1419"/>
    </w:pPr>
  </w:style>
  <w:style w:type="paragraph" w:customStyle="1" w:styleId="89">
    <w:name w:val="附录一级无"/>
    <w:basedOn w:val="90"/>
    <w:uiPriority w:val="0"/>
    <w:pPr>
      <w:spacing w:before="0" w:beforeLines="0" w:after="0" w:afterLines="0"/>
    </w:pPr>
    <w:rPr>
      <w:rFonts w:ascii="宋体" w:eastAsia="宋体"/>
      <w:szCs w:val="21"/>
    </w:rPr>
  </w:style>
  <w:style w:type="paragraph" w:customStyle="1" w:styleId="90">
    <w:name w:val="附录一级条标题"/>
    <w:basedOn w:val="91"/>
    <w:next w:val="20"/>
    <w:uiPriority w:val="0"/>
    <w:pPr>
      <w:numPr>
        <w:ilvl w:val="2"/>
        <w:numId w:val="9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91">
    <w:name w:val="附录章标题"/>
    <w:next w:val="20"/>
    <w:uiPriority w:val="0"/>
    <w:pPr>
      <w:numPr>
        <w:ilvl w:val="1"/>
        <w:numId w:val="9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eastAsia="黑体"/>
      <w:kern w:val="21"/>
      <w:sz w:val="21"/>
      <w:lang w:val="en-US" w:eastAsia="zh-CN" w:bidi="ar-SA"/>
    </w:rPr>
  </w:style>
  <w:style w:type="paragraph" w:customStyle="1" w:styleId="92">
    <w:name w:val="参考文献"/>
    <w:basedOn w:val="1"/>
    <w:next w:val="20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3">
    <w:name w:val="条文脚注"/>
    <w:basedOn w:val="21"/>
    <w:uiPriority w:val="0"/>
    <w:pPr>
      <w:numPr>
        <w:ilvl w:val="0"/>
        <w:numId w:val="0"/>
      </w:numPr>
      <w:jc w:val="both"/>
    </w:pPr>
    <w:rPr>
      <w:rFonts w:ascii="宋体"/>
    </w:rPr>
  </w:style>
  <w:style w:type="paragraph" w:customStyle="1" w:styleId="94">
    <w:name w:val="示例"/>
    <w:next w:val="83"/>
    <w:uiPriority w:val="0"/>
    <w:pPr>
      <w:widowControl w:val="0"/>
      <w:numPr>
        <w:ilvl w:val="0"/>
        <w:numId w:val="14"/>
      </w:numPr>
      <w:jc w:val="both"/>
    </w:pPr>
    <w:rPr>
      <w:rFonts w:ascii="宋体"/>
      <w:sz w:val="18"/>
      <w:szCs w:val="18"/>
      <w:lang w:val="en-US" w:eastAsia="zh-CN" w:bidi="ar-SA"/>
    </w:rPr>
  </w:style>
  <w:style w:type="paragraph" w:customStyle="1" w:styleId="95">
    <w:name w:val="附录五级无"/>
    <w:basedOn w:val="58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6">
    <w:name w:val="标准书眉一"/>
    <w:uiPriority w:val="0"/>
    <w:pPr>
      <w:jc w:val="both"/>
    </w:pPr>
    <w:rPr>
      <w:lang w:val="en-US" w:eastAsia="zh-CN" w:bidi="ar-SA"/>
    </w:rPr>
  </w:style>
  <w:style w:type="paragraph" w:customStyle="1" w:styleId="97">
    <w:name w:val="附录字母编号列项（一级）"/>
    <w:qFormat/>
    <w:uiPriority w:val="0"/>
    <w:pPr>
      <w:numPr>
        <w:ilvl w:val="0"/>
        <w:numId w:val="15"/>
      </w:numPr>
    </w:pPr>
    <w:rPr>
      <w:rFonts w:ascii="宋体"/>
      <w:sz w:val="21"/>
      <w:lang w:val="en-US" w:eastAsia="zh-CN" w:bidi="ar-SA"/>
    </w:rPr>
  </w:style>
  <w:style w:type="paragraph" w:customStyle="1" w:styleId="98">
    <w:name w:val="二级无"/>
    <w:basedOn w:val="66"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99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  <w:lang w:val="en-US" w:eastAsia="zh-CN" w:bidi="ar-SA"/>
    </w:rPr>
  </w:style>
  <w:style w:type="paragraph" w:customStyle="1" w:styleId="100">
    <w:name w:val="发布部门"/>
    <w:next w:val="20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  <w:lang w:val="en-US" w:eastAsia="zh-CN" w:bidi="ar-SA"/>
    </w:rPr>
  </w:style>
  <w:style w:type="paragraph" w:customStyle="1" w:styleId="101">
    <w:name w:val="封面标准文稿编辑信息2"/>
    <w:basedOn w:val="102"/>
    <w:uiPriority w:val="0"/>
    <w:pPr>
      <w:framePr w:y="4469"/>
    </w:pPr>
  </w:style>
  <w:style w:type="paragraph" w:customStyle="1" w:styleId="102">
    <w:name w:val="封面标准文稿编辑信息"/>
    <w:basedOn w:val="103"/>
    <w:uiPriority w:val="0"/>
    <w:pPr>
      <w:spacing w:before="180" w:line="180" w:lineRule="exact"/>
    </w:pPr>
    <w:rPr>
      <w:sz w:val="21"/>
    </w:rPr>
  </w:style>
  <w:style w:type="paragraph" w:customStyle="1" w:styleId="103">
    <w:name w:val="封面标准文稿类别"/>
    <w:basedOn w:val="104"/>
    <w:uiPriority w:val="0"/>
    <w:pPr>
      <w:spacing w:after="160" w:line="240" w:lineRule="auto"/>
    </w:pPr>
    <w:rPr>
      <w:sz w:val="24"/>
    </w:rPr>
  </w:style>
  <w:style w:type="paragraph" w:customStyle="1" w:styleId="104">
    <w:name w:val="封面一致性程度标识"/>
    <w:basedOn w:val="46"/>
    <w:uiPriority w:val="0"/>
    <w:pPr>
      <w:spacing w:before="440"/>
    </w:pPr>
    <w:rPr>
      <w:rFonts w:ascii="宋体" w:eastAsia="宋体"/>
    </w:rPr>
  </w:style>
  <w:style w:type="paragraph" w:customStyle="1" w:styleId="105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lang w:val="en-US" w:eastAsia="zh-CN" w:bidi="ar-SA"/>
    </w:rPr>
  </w:style>
  <w:style w:type="paragraph" w:customStyle="1" w:styleId="106">
    <w:name w:val="封面正文"/>
    <w:uiPriority w:val="0"/>
    <w:pPr>
      <w:jc w:val="both"/>
    </w:pPr>
    <w:rPr>
      <w:lang w:val="en-US" w:eastAsia="zh-CN" w:bidi="ar-SA"/>
    </w:rPr>
  </w:style>
  <w:style w:type="paragraph" w:customStyle="1" w:styleId="107">
    <w:name w:val="附录标识"/>
    <w:basedOn w:val="1"/>
    <w:next w:val="20"/>
    <w:uiPriority w:val="0"/>
    <w:pPr>
      <w:keepNext/>
      <w:widowControl/>
      <w:numPr>
        <w:ilvl w:val="0"/>
        <w:numId w:val="9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8">
    <w:name w:val="附录表标号"/>
    <w:basedOn w:val="1"/>
    <w:next w:val="20"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9">
    <w:name w:val="附录二级无"/>
    <w:basedOn w:val="61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0">
    <w:name w:val="封面标准文稿类别2"/>
    <w:basedOn w:val="103"/>
    <w:uiPriority w:val="0"/>
    <w:pPr>
      <w:framePr w:y="4469"/>
    </w:pPr>
  </w:style>
  <w:style w:type="paragraph" w:customStyle="1" w:styleId="111">
    <w:name w:val="附录三级无"/>
    <w:basedOn w:val="60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2">
    <w:name w:val="附录数字编号列项（二级）"/>
    <w:qFormat/>
    <w:uiPriority w:val="0"/>
    <w:pPr>
      <w:numPr>
        <w:ilvl w:val="1"/>
        <w:numId w:val="15"/>
      </w:numPr>
    </w:pPr>
    <w:rPr>
      <w:rFonts w:ascii="宋体"/>
      <w:sz w:val="21"/>
      <w:lang w:val="en-US" w:eastAsia="zh-CN" w:bidi="ar-SA"/>
    </w:rPr>
  </w:style>
  <w:style w:type="paragraph" w:customStyle="1" w:styleId="113">
    <w:name w:val="附录四级无"/>
    <w:basedOn w:val="59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4">
    <w:name w:val="目次、索引正文"/>
    <w:uiPriority w:val="0"/>
    <w:pPr>
      <w:spacing w:line="320" w:lineRule="exact"/>
      <w:jc w:val="both"/>
    </w:pPr>
    <w:rPr>
      <w:rFonts w:ascii="宋体"/>
      <w:sz w:val="21"/>
      <w:lang w:val="en-US" w:eastAsia="zh-CN" w:bidi="ar-SA"/>
    </w:rPr>
  </w:style>
  <w:style w:type="paragraph" w:customStyle="1" w:styleId="115">
    <w:name w:val="其他发布部门"/>
    <w:basedOn w:val="100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6">
    <w:name w:val="前言、引言标题"/>
    <w:next w:val="20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lang w:val="en-US" w:eastAsia="zh-CN" w:bidi="ar-SA"/>
    </w:rPr>
  </w:style>
  <w:style w:type="paragraph" w:customStyle="1" w:styleId="117">
    <w:name w:val="三级无"/>
    <w:basedOn w:val="65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8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19">
    <w:name w:val="四级无"/>
    <w:basedOn w:val="68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0">
    <w:name w:val="图标脚注说明"/>
    <w:basedOn w:val="20"/>
    <w:uiPriority w:val="0"/>
    <w:pPr>
      <w:ind w:left="840" w:hanging="420" w:firstLineChars="0"/>
    </w:pPr>
    <w:rPr>
      <w:sz w:val="18"/>
      <w:szCs w:val="18"/>
    </w:rPr>
  </w:style>
  <w:style w:type="paragraph" w:customStyle="1" w:styleId="121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/>
      <w:sz w:val="18"/>
      <w:lang w:val="en-US" w:eastAsia="zh-CN" w:bidi="ar-SA"/>
    </w:rPr>
  </w:style>
  <w:style w:type="paragraph" w:customStyle="1" w:styleId="122">
    <w:name w:val="五级无"/>
    <w:basedOn w:val="67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3">
    <w:name w:val="一级无"/>
    <w:basedOn w:val="48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4">
    <w:name w:val="正文表标题"/>
    <w:next w:val="20"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eastAsia="黑体"/>
      <w:sz w:val="21"/>
      <w:lang w:val="en-US" w:eastAsia="zh-CN" w:bidi="ar-SA"/>
    </w:rPr>
  </w:style>
  <w:style w:type="paragraph" w:customStyle="1" w:styleId="125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126">
    <w:name w:val="正文图标题"/>
    <w:next w:val="20"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eastAsia="黑体"/>
      <w:sz w:val="21"/>
      <w:lang w:val="en-US" w:eastAsia="zh-CN" w:bidi="ar-SA"/>
    </w:rPr>
  </w:style>
  <w:style w:type="paragraph" w:customStyle="1" w:styleId="127">
    <w:name w:val="封面一致性程度标识2"/>
    <w:basedOn w:val="104"/>
    <w:uiPriority w:val="0"/>
    <w:pPr>
      <w:framePr w:y="4469"/>
    </w:pPr>
  </w:style>
  <w:style w:type="character" w:customStyle="1" w:styleId="128">
    <w:name w:val="首示例 Char"/>
    <w:basedOn w:val="30"/>
    <w:link w:val="84"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29">
    <w:name w:val="附录公式 Char"/>
    <w:basedOn w:val="130"/>
    <w:link w:val="37"/>
    <w:uiPriority w:val="0"/>
  </w:style>
  <w:style w:type="character" w:customStyle="1" w:styleId="130">
    <w:name w:val="段 Char"/>
    <w:basedOn w:val="30"/>
    <w:link w:val="20"/>
    <w:uiPriority w:val="0"/>
    <w:rPr>
      <w:rFonts w:ascii="宋体"/>
      <w:sz w:val="21"/>
      <w:lang w:val="en-US" w:eastAsia="zh-CN" w:bidi="ar-SA"/>
    </w:rPr>
  </w:style>
  <w:style w:type="character" w:customStyle="1" w:styleId="131">
    <w:name w:val="发布"/>
    <w:basedOn w:val="30"/>
    <w:uiPriority w:val="0"/>
    <w:rPr>
      <w:rFonts w:ascii="黑体" w:eastAsia="黑体"/>
      <w:spacing w:val="85"/>
      <w:w w:val="100"/>
      <w:position w:val="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047;&#28857;&#26381;&#21153;&#36136;&#37327;&#35268;&#3353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钟点服务质量规范.dot</Template>
  <Pages>5</Pages>
  <Words>1714</Words>
  <Characters>2101</Characters>
  <Lines>17</Lines>
  <Paragraphs>5</Paragraphs>
  <TotalTime>0</TotalTime>
  <ScaleCrop>false</ScaleCrop>
  <LinksUpToDate>false</LinksUpToDate>
  <CharactersWithSpaces>2165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2020-10-20T07:55:00Z</dcterms:created>
  <dc:creator>WPS_1130670960</dc:creator>
  <cp:lastModifiedBy>WPS_1130670960</cp:lastModifiedBy>
  <dcterms:modified xsi:type="dcterms:W3CDTF">2020-10-20T07:55:57Z</dcterms:modified>
  <dc:title>标准名称</dc:title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